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35" w:rsidRPr="00A44975" w:rsidRDefault="00A44975" w:rsidP="008020EA">
      <w:pPr>
        <w:jc w:val="right"/>
        <w:rPr>
          <w:rFonts w:ascii="Arial" w:hAnsi="Arial" w:cs="Arial"/>
          <w:b/>
          <w:sz w:val="24"/>
          <w:szCs w:val="24"/>
        </w:rPr>
      </w:pPr>
      <w:r w:rsidRPr="00A44975">
        <w:rPr>
          <w:rFonts w:ascii="Arial" w:hAnsi="Arial" w:cs="Arial"/>
          <w:b/>
          <w:sz w:val="24"/>
          <w:szCs w:val="24"/>
        </w:rPr>
        <w:t>Appendix 'A'</w:t>
      </w:r>
    </w:p>
    <w:p w:rsidR="00E65F45" w:rsidRPr="00A44975" w:rsidRDefault="009F4445" w:rsidP="005A3EAC">
      <w:pPr>
        <w:jc w:val="center"/>
        <w:rPr>
          <w:rFonts w:ascii="Arial" w:hAnsi="Arial" w:cs="Arial"/>
          <w:b/>
          <w:sz w:val="24"/>
          <w:szCs w:val="24"/>
        </w:rPr>
      </w:pPr>
      <w:r w:rsidRPr="00A44975">
        <w:rPr>
          <w:rFonts w:ascii="Arial" w:hAnsi="Arial" w:cs="Arial"/>
          <w:b/>
          <w:sz w:val="24"/>
          <w:szCs w:val="24"/>
        </w:rPr>
        <w:t xml:space="preserve">Measuring </w:t>
      </w:r>
      <w:r w:rsidR="005A3EAC" w:rsidRPr="00A44975">
        <w:rPr>
          <w:rFonts w:ascii="Arial" w:hAnsi="Arial" w:cs="Arial"/>
          <w:b/>
          <w:sz w:val="24"/>
          <w:szCs w:val="24"/>
        </w:rPr>
        <w:t>LCPF Costs</w:t>
      </w:r>
    </w:p>
    <w:p w:rsidR="009F4445" w:rsidRPr="00A44975" w:rsidRDefault="009F4445" w:rsidP="00A449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975">
        <w:rPr>
          <w:rFonts w:ascii="Arial" w:hAnsi="Arial" w:cs="Arial"/>
          <w:sz w:val="24"/>
          <w:szCs w:val="24"/>
        </w:rPr>
        <w:t xml:space="preserve">The Local Pension Board’s remit includes </w:t>
      </w:r>
      <w:r w:rsidR="00274A03" w:rsidRPr="00A44975">
        <w:rPr>
          <w:rFonts w:ascii="Arial" w:hAnsi="Arial" w:cs="Arial"/>
          <w:sz w:val="24"/>
          <w:szCs w:val="24"/>
        </w:rPr>
        <w:t>oversight and comment on the relative and absolu</w:t>
      </w:r>
      <w:r w:rsidR="00A44975">
        <w:rPr>
          <w:rFonts w:ascii="Arial" w:hAnsi="Arial" w:cs="Arial"/>
          <w:sz w:val="24"/>
          <w:szCs w:val="24"/>
        </w:rPr>
        <w:t>te costs of running the fund</w:t>
      </w:r>
      <w:r w:rsidR="008020EA">
        <w:rPr>
          <w:rFonts w:ascii="Arial" w:hAnsi="Arial" w:cs="Arial"/>
          <w:sz w:val="24"/>
          <w:szCs w:val="24"/>
        </w:rPr>
        <w:t xml:space="preserve"> </w:t>
      </w:r>
      <w:r w:rsidR="008020EA" w:rsidRPr="00A44975">
        <w:rPr>
          <w:rFonts w:ascii="Arial" w:hAnsi="Arial" w:cs="Arial"/>
          <w:sz w:val="24"/>
          <w:szCs w:val="24"/>
        </w:rPr>
        <w:t>(Terms of Reference para</w:t>
      </w:r>
      <w:r w:rsidR="008020EA">
        <w:rPr>
          <w:rFonts w:ascii="Arial" w:hAnsi="Arial" w:cs="Arial"/>
          <w:sz w:val="24"/>
          <w:szCs w:val="24"/>
        </w:rPr>
        <w:t>graph</w:t>
      </w:r>
      <w:r w:rsidR="008020EA" w:rsidRPr="00A44975">
        <w:rPr>
          <w:rFonts w:ascii="Arial" w:hAnsi="Arial" w:cs="Arial"/>
          <w:sz w:val="24"/>
          <w:szCs w:val="24"/>
        </w:rPr>
        <w:t xml:space="preserve"> 9)</w:t>
      </w:r>
      <w:r w:rsidR="008020EA">
        <w:rPr>
          <w:rFonts w:ascii="Arial" w:hAnsi="Arial" w:cs="Arial"/>
          <w:sz w:val="24"/>
          <w:szCs w:val="24"/>
        </w:rPr>
        <w:t>,</w:t>
      </w:r>
      <w:r w:rsidR="00A44975">
        <w:rPr>
          <w:rFonts w:ascii="Arial" w:hAnsi="Arial" w:cs="Arial"/>
          <w:sz w:val="24"/>
          <w:szCs w:val="24"/>
        </w:rPr>
        <w:t xml:space="preserve"> </w:t>
      </w:r>
      <w:r w:rsidR="00274A03" w:rsidRPr="00A44975">
        <w:rPr>
          <w:rFonts w:ascii="Arial" w:hAnsi="Arial" w:cs="Arial"/>
          <w:sz w:val="24"/>
          <w:szCs w:val="24"/>
        </w:rPr>
        <w:t>This report sets out a process by which the Board c</w:t>
      </w:r>
      <w:r w:rsidR="00A44975">
        <w:rPr>
          <w:rFonts w:ascii="Arial" w:hAnsi="Arial" w:cs="Arial"/>
          <w:sz w:val="24"/>
          <w:szCs w:val="24"/>
        </w:rPr>
        <w:t>an monitor these in the context</w:t>
      </w:r>
      <w:r w:rsidR="00274A03" w:rsidRPr="00A44975">
        <w:rPr>
          <w:rFonts w:ascii="Arial" w:hAnsi="Arial" w:cs="Arial"/>
          <w:sz w:val="24"/>
          <w:szCs w:val="24"/>
        </w:rPr>
        <w:t xml:space="preserve"> of LGPS ‘pooling’ and the creation of </w:t>
      </w:r>
      <w:r w:rsidR="00A44975">
        <w:rPr>
          <w:rFonts w:ascii="Arial" w:hAnsi="Arial" w:cs="Arial"/>
          <w:sz w:val="24"/>
          <w:szCs w:val="24"/>
        </w:rPr>
        <w:t>the Local Pensions Partnership (</w:t>
      </w:r>
      <w:r w:rsidR="00274A03" w:rsidRPr="00A44975">
        <w:rPr>
          <w:rFonts w:ascii="Arial" w:hAnsi="Arial" w:cs="Arial"/>
          <w:sz w:val="24"/>
          <w:szCs w:val="24"/>
        </w:rPr>
        <w:t>LPP</w:t>
      </w:r>
      <w:r w:rsidR="00A44975">
        <w:rPr>
          <w:rFonts w:ascii="Arial" w:hAnsi="Arial" w:cs="Arial"/>
          <w:sz w:val="24"/>
          <w:szCs w:val="24"/>
        </w:rPr>
        <w:t>)</w:t>
      </w:r>
      <w:r w:rsidR="00274A03" w:rsidRPr="00A44975">
        <w:rPr>
          <w:rFonts w:ascii="Arial" w:hAnsi="Arial" w:cs="Arial"/>
          <w:sz w:val="24"/>
          <w:szCs w:val="24"/>
        </w:rPr>
        <w:t xml:space="preserve"> using consistent and publicly available numbers.  </w:t>
      </w:r>
    </w:p>
    <w:p w:rsidR="00A44975" w:rsidRDefault="00A44975" w:rsidP="00A449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4A03" w:rsidRPr="00A44975" w:rsidRDefault="00274A03" w:rsidP="00A449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975">
        <w:rPr>
          <w:rFonts w:ascii="Arial" w:hAnsi="Arial" w:cs="Arial"/>
          <w:sz w:val="24"/>
          <w:szCs w:val="24"/>
        </w:rPr>
        <w:t>LCPF P</w:t>
      </w:r>
      <w:r w:rsidR="00A44975">
        <w:rPr>
          <w:rFonts w:ascii="Arial" w:hAnsi="Arial" w:cs="Arial"/>
          <w:sz w:val="24"/>
          <w:szCs w:val="24"/>
        </w:rPr>
        <w:t xml:space="preserve">ension Fund Committee </w:t>
      </w:r>
      <w:r w:rsidRPr="00A44975">
        <w:rPr>
          <w:rFonts w:ascii="Arial" w:hAnsi="Arial" w:cs="Arial"/>
          <w:sz w:val="24"/>
          <w:szCs w:val="24"/>
        </w:rPr>
        <w:t xml:space="preserve">also has a strong interest in evaluating these same issues, and the intention is to use a </w:t>
      </w:r>
      <w:r w:rsidR="00CB3FA2" w:rsidRPr="00A44975">
        <w:rPr>
          <w:rFonts w:ascii="Arial" w:hAnsi="Arial" w:cs="Arial"/>
          <w:sz w:val="24"/>
          <w:szCs w:val="24"/>
        </w:rPr>
        <w:t>single set</w:t>
      </w:r>
      <w:r w:rsidRPr="00A44975">
        <w:rPr>
          <w:rFonts w:ascii="Arial" w:hAnsi="Arial" w:cs="Arial"/>
          <w:sz w:val="24"/>
          <w:szCs w:val="24"/>
        </w:rPr>
        <w:t xml:space="preserve"> of figures. </w:t>
      </w:r>
      <w:r w:rsidR="00CB3FA2" w:rsidRPr="00A44975">
        <w:rPr>
          <w:rFonts w:ascii="Arial" w:hAnsi="Arial" w:cs="Arial"/>
          <w:sz w:val="24"/>
          <w:szCs w:val="24"/>
        </w:rPr>
        <w:t>The process</w:t>
      </w:r>
      <w:r w:rsidRPr="00A44975">
        <w:rPr>
          <w:rFonts w:ascii="Arial" w:hAnsi="Arial" w:cs="Arial"/>
          <w:sz w:val="24"/>
          <w:szCs w:val="24"/>
        </w:rPr>
        <w:t xml:space="preserve"> outline</w:t>
      </w:r>
      <w:r w:rsidR="005D2D7D" w:rsidRPr="00A44975">
        <w:rPr>
          <w:rFonts w:ascii="Arial" w:hAnsi="Arial" w:cs="Arial"/>
          <w:sz w:val="24"/>
          <w:szCs w:val="24"/>
        </w:rPr>
        <w:t>d</w:t>
      </w:r>
      <w:r w:rsidRPr="00A44975">
        <w:rPr>
          <w:rFonts w:ascii="Arial" w:hAnsi="Arial" w:cs="Arial"/>
          <w:sz w:val="24"/>
          <w:szCs w:val="24"/>
        </w:rPr>
        <w:t xml:space="preserve"> in this report should be considered as indicative only until such time as a satisfactory process has been agreed.  The dominant cost in the total cost of running a pension fund is the </w:t>
      </w:r>
      <w:r w:rsidRPr="00A44975">
        <w:rPr>
          <w:rFonts w:ascii="Arial" w:hAnsi="Arial" w:cs="Arial"/>
          <w:b/>
          <w:sz w:val="24"/>
          <w:szCs w:val="24"/>
        </w:rPr>
        <w:t>investment management cost</w:t>
      </w:r>
      <w:r w:rsidRPr="00A44975">
        <w:rPr>
          <w:rFonts w:ascii="Arial" w:hAnsi="Arial" w:cs="Arial"/>
          <w:sz w:val="24"/>
          <w:szCs w:val="24"/>
        </w:rPr>
        <w:t xml:space="preserve">, essentially the fees paid to the external asset managers the fund employs to implement its investment strategy. In addition there is the cost of actually </w:t>
      </w:r>
      <w:r w:rsidRPr="00A44975">
        <w:rPr>
          <w:rFonts w:ascii="Arial" w:hAnsi="Arial" w:cs="Arial"/>
          <w:b/>
          <w:sz w:val="24"/>
          <w:szCs w:val="24"/>
        </w:rPr>
        <w:t>administering</w:t>
      </w:r>
      <w:r w:rsidRPr="00A44975">
        <w:rPr>
          <w:rFonts w:ascii="Arial" w:hAnsi="Arial" w:cs="Arial"/>
          <w:sz w:val="24"/>
          <w:szCs w:val="24"/>
        </w:rPr>
        <w:t xml:space="preserve"> the benefits side of the pension fund and a small central overhead covering </w:t>
      </w:r>
      <w:r w:rsidRPr="00A44975">
        <w:rPr>
          <w:rFonts w:ascii="Arial" w:hAnsi="Arial" w:cs="Arial"/>
          <w:b/>
          <w:sz w:val="24"/>
          <w:szCs w:val="24"/>
        </w:rPr>
        <w:t xml:space="preserve">Oversight and Governance. </w:t>
      </w:r>
      <w:r w:rsidRPr="00A44975">
        <w:rPr>
          <w:rFonts w:ascii="Arial" w:hAnsi="Arial" w:cs="Arial"/>
          <w:sz w:val="24"/>
          <w:szCs w:val="24"/>
        </w:rPr>
        <w:t xml:space="preserve">These are shown below for the end of </w:t>
      </w:r>
      <w:r w:rsidR="00A44975">
        <w:rPr>
          <w:rFonts w:ascii="Arial" w:hAnsi="Arial" w:cs="Arial"/>
          <w:sz w:val="24"/>
          <w:szCs w:val="24"/>
        </w:rPr>
        <w:t>the fiscal years (FY) to March 20</w:t>
      </w:r>
      <w:r w:rsidRPr="00A44975">
        <w:rPr>
          <w:rFonts w:ascii="Arial" w:hAnsi="Arial" w:cs="Arial"/>
          <w:sz w:val="24"/>
          <w:szCs w:val="24"/>
        </w:rPr>
        <w:t xml:space="preserve">15 and March </w:t>
      </w:r>
      <w:r w:rsidR="00A44975">
        <w:rPr>
          <w:rFonts w:ascii="Arial" w:hAnsi="Arial" w:cs="Arial"/>
          <w:sz w:val="24"/>
          <w:szCs w:val="24"/>
        </w:rPr>
        <w:t>20</w:t>
      </w:r>
      <w:r w:rsidRPr="00A44975">
        <w:rPr>
          <w:rFonts w:ascii="Arial" w:hAnsi="Arial" w:cs="Arial"/>
          <w:sz w:val="24"/>
          <w:szCs w:val="24"/>
        </w:rPr>
        <w:t>16.</w:t>
      </w:r>
    </w:p>
    <w:p w:rsidR="00A44975" w:rsidRDefault="00A44975" w:rsidP="00A449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4A03" w:rsidRPr="00A44975" w:rsidRDefault="00274A03" w:rsidP="00A449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975">
        <w:rPr>
          <w:rFonts w:ascii="Arial" w:hAnsi="Arial" w:cs="Arial"/>
          <w:sz w:val="24"/>
          <w:szCs w:val="24"/>
        </w:rPr>
        <w:t>The trend in the figures will be more important than the absolute figures. To be of most value the figures should be prepared on a consistent basis, a</w:t>
      </w:r>
      <w:r w:rsidR="00A44975">
        <w:rPr>
          <w:rFonts w:ascii="Arial" w:hAnsi="Arial" w:cs="Arial"/>
          <w:sz w:val="24"/>
          <w:szCs w:val="24"/>
        </w:rPr>
        <w:t xml:space="preserve">udited, and easily available. </w:t>
      </w:r>
      <w:r w:rsidRPr="00A44975">
        <w:rPr>
          <w:rFonts w:ascii="Arial" w:hAnsi="Arial" w:cs="Arial"/>
          <w:sz w:val="24"/>
          <w:szCs w:val="24"/>
        </w:rPr>
        <w:t xml:space="preserve">The proposal is therefore to use </w:t>
      </w:r>
      <w:r w:rsidR="005D2D7D" w:rsidRPr="00A44975">
        <w:rPr>
          <w:rFonts w:ascii="Arial" w:hAnsi="Arial" w:cs="Arial"/>
          <w:sz w:val="24"/>
          <w:szCs w:val="24"/>
        </w:rPr>
        <w:t xml:space="preserve">the </w:t>
      </w:r>
      <w:r w:rsidRPr="00A44975">
        <w:rPr>
          <w:rFonts w:ascii="Arial" w:hAnsi="Arial" w:cs="Arial"/>
          <w:sz w:val="24"/>
          <w:szCs w:val="24"/>
        </w:rPr>
        <w:t>figures</w:t>
      </w:r>
      <w:r w:rsidR="005D2D7D" w:rsidRPr="00A44975">
        <w:rPr>
          <w:rFonts w:ascii="Arial" w:hAnsi="Arial" w:cs="Arial"/>
          <w:sz w:val="24"/>
          <w:szCs w:val="24"/>
        </w:rPr>
        <w:t xml:space="preserve"> given in the table below, which are</w:t>
      </w:r>
      <w:r w:rsidRPr="00A44975">
        <w:rPr>
          <w:rFonts w:ascii="Arial" w:hAnsi="Arial" w:cs="Arial"/>
          <w:sz w:val="24"/>
          <w:szCs w:val="24"/>
        </w:rPr>
        <w:t xml:space="preserve"> taken from the annual report and accounts.</w:t>
      </w:r>
    </w:p>
    <w:p w:rsidR="00A44975" w:rsidRDefault="00A44975" w:rsidP="00A449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EAC" w:rsidRDefault="002F3D6D" w:rsidP="00A449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975">
        <w:rPr>
          <w:rFonts w:ascii="Arial" w:hAnsi="Arial" w:cs="Arial"/>
          <w:sz w:val="24"/>
          <w:szCs w:val="24"/>
        </w:rPr>
        <w:t xml:space="preserve">LGPS </w:t>
      </w:r>
      <w:r w:rsidR="005A3EAC" w:rsidRPr="00A44975">
        <w:rPr>
          <w:rFonts w:ascii="Arial" w:hAnsi="Arial" w:cs="Arial"/>
          <w:sz w:val="24"/>
          <w:szCs w:val="24"/>
        </w:rPr>
        <w:t>‘</w:t>
      </w:r>
      <w:r w:rsidRPr="00A44975">
        <w:rPr>
          <w:rFonts w:ascii="Arial" w:hAnsi="Arial" w:cs="Arial"/>
          <w:sz w:val="24"/>
          <w:szCs w:val="24"/>
        </w:rPr>
        <w:t>p</w:t>
      </w:r>
      <w:r w:rsidR="005A3EAC" w:rsidRPr="00A44975">
        <w:rPr>
          <w:rFonts w:ascii="Arial" w:hAnsi="Arial" w:cs="Arial"/>
          <w:sz w:val="24"/>
          <w:szCs w:val="24"/>
        </w:rPr>
        <w:t>ooling’</w:t>
      </w:r>
      <w:r w:rsidRPr="00A44975">
        <w:rPr>
          <w:rFonts w:ascii="Arial" w:hAnsi="Arial" w:cs="Arial"/>
          <w:sz w:val="24"/>
          <w:szCs w:val="24"/>
        </w:rPr>
        <w:t xml:space="preserve"> in general and </w:t>
      </w:r>
      <w:r w:rsidR="005A3EAC" w:rsidRPr="00A44975">
        <w:rPr>
          <w:rFonts w:ascii="Arial" w:hAnsi="Arial" w:cs="Arial"/>
          <w:sz w:val="24"/>
          <w:szCs w:val="24"/>
        </w:rPr>
        <w:t>the LPP</w:t>
      </w:r>
      <w:r w:rsidR="00A44975">
        <w:rPr>
          <w:rFonts w:ascii="Arial" w:hAnsi="Arial" w:cs="Arial"/>
          <w:sz w:val="24"/>
          <w:szCs w:val="24"/>
        </w:rPr>
        <w:t xml:space="preserve"> </w:t>
      </w:r>
      <w:r w:rsidRPr="00A44975">
        <w:rPr>
          <w:rFonts w:ascii="Arial" w:hAnsi="Arial" w:cs="Arial"/>
          <w:sz w:val="24"/>
          <w:szCs w:val="24"/>
        </w:rPr>
        <w:t>specifically are</w:t>
      </w:r>
      <w:r w:rsidR="005A3EAC" w:rsidRPr="00A44975">
        <w:rPr>
          <w:rFonts w:ascii="Arial" w:hAnsi="Arial" w:cs="Arial"/>
          <w:sz w:val="24"/>
          <w:szCs w:val="24"/>
        </w:rPr>
        <w:t xml:space="preserve"> about saving investment managements costs </w:t>
      </w:r>
      <w:r w:rsidR="005A3EAC" w:rsidRPr="00A44975">
        <w:rPr>
          <w:rFonts w:ascii="Arial" w:hAnsi="Arial" w:cs="Arial"/>
          <w:b/>
          <w:i/>
          <w:sz w:val="24"/>
          <w:szCs w:val="24"/>
        </w:rPr>
        <w:t xml:space="preserve">without sacrificing returns. </w:t>
      </w:r>
      <w:r w:rsidR="005A3EAC" w:rsidRPr="00A44975">
        <w:rPr>
          <w:rFonts w:ascii="Arial" w:hAnsi="Arial" w:cs="Arial"/>
          <w:sz w:val="24"/>
          <w:szCs w:val="24"/>
        </w:rPr>
        <w:t xml:space="preserve"> ‘Investment</w:t>
      </w:r>
      <w:r w:rsidRPr="00A44975">
        <w:rPr>
          <w:rFonts w:ascii="Arial" w:hAnsi="Arial" w:cs="Arial"/>
          <w:sz w:val="24"/>
          <w:szCs w:val="24"/>
        </w:rPr>
        <w:t xml:space="preserve"> management </w:t>
      </w:r>
      <w:r w:rsidR="005A3EAC" w:rsidRPr="00A44975">
        <w:rPr>
          <w:rFonts w:ascii="Arial" w:hAnsi="Arial" w:cs="Arial"/>
          <w:sz w:val="24"/>
          <w:szCs w:val="24"/>
        </w:rPr>
        <w:t xml:space="preserve">costs’ represent the dominant share of the total costs of running a pension fund, as </w:t>
      </w:r>
      <w:r w:rsidRPr="00A44975">
        <w:rPr>
          <w:rFonts w:ascii="Arial" w:hAnsi="Arial" w:cs="Arial"/>
          <w:sz w:val="24"/>
          <w:szCs w:val="24"/>
        </w:rPr>
        <w:t>is</w:t>
      </w:r>
      <w:r w:rsidR="005A3EAC" w:rsidRPr="00A44975">
        <w:rPr>
          <w:rFonts w:ascii="Arial" w:hAnsi="Arial" w:cs="Arial"/>
          <w:sz w:val="24"/>
          <w:szCs w:val="24"/>
        </w:rPr>
        <w:t xml:space="preserve"> illustrated with the figures below. It will be challenging to measure ‘without sacrificing returns’, as th</w:t>
      </w:r>
      <w:r w:rsidRPr="00A44975">
        <w:rPr>
          <w:rFonts w:ascii="Arial" w:hAnsi="Arial" w:cs="Arial"/>
          <w:sz w:val="24"/>
          <w:szCs w:val="24"/>
        </w:rPr>
        <w:t xml:space="preserve">e return a fund achieves </w:t>
      </w:r>
      <w:r w:rsidR="005A3EAC" w:rsidRPr="00A44975">
        <w:rPr>
          <w:rFonts w:ascii="Arial" w:hAnsi="Arial" w:cs="Arial"/>
          <w:sz w:val="24"/>
          <w:szCs w:val="24"/>
        </w:rPr>
        <w:t>is driven primarily by investment strategy</w:t>
      </w:r>
      <w:r w:rsidRPr="00A44975">
        <w:rPr>
          <w:rFonts w:ascii="Arial" w:hAnsi="Arial" w:cs="Arial"/>
          <w:sz w:val="24"/>
          <w:szCs w:val="24"/>
        </w:rPr>
        <w:t xml:space="preserve"> which remains</w:t>
      </w:r>
      <w:r w:rsidR="005A3EAC" w:rsidRPr="00A44975">
        <w:rPr>
          <w:rFonts w:ascii="Arial" w:hAnsi="Arial" w:cs="Arial"/>
          <w:sz w:val="24"/>
          <w:szCs w:val="24"/>
        </w:rPr>
        <w:t xml:space="preserve"> the preserve of </w:t>
      </w:r>
      <w:r w:rsidR="00A44975">
        <w:rPr>
          <w:rFonts w:ascii="Arial" w:hAnsi="Arial" w:cs="Arial"/>
          <w:sz w:val="24"/>
          <w:szCs w:val="24"/>
        </w:rPr>
        <w:t>the LCPF Pension Fund Committee</w:t>
      </w:r>
      <w:r w:rsidR="005A3EAC" w:rsidRPr="00A44975">
        <w:rPr>
          <w:rFonts w:ascii="Arial" w:hAnsi="Arial" w:cs="Arial"/>
          <w:sz w:val="24"/>
          <w:szCs w:val="24"/>
        </w:rPr>
        <w:t xml:space="preserve">. </w:t>
      </w:r>
      <w:r w:rsidRPr="00A44975">
        <w:rPr>
          <w:rFonts w:ascii="Arial" w:hAnsi="Arial" w:cs="Arial"/>
          <w:sz w:val="24"/>
          <w:szCs w:val="24"/>
        </w:rPr>
        <w:t xml:space="preserve">In contrast </w:t>
      </w:r>
      <w:r w:rsidR="005A3EAC" w:rsidRPr="00A44975">
        <w:rPr>
          <w:rFonts w:ascii="Arial" w:hAnsi="Arial" w:cs="Arial"/>
          <w:sz w:val="24"/>
          <w:szCs w:val="24"/>
        </w:rPr>
        <w:t xml:space="preserve">it is relatively straightforward to measure the ‘saving investment management costs’, </w:t>
      </w:r>
      <w:r w:rsidRPr="00A44975">
        <w:rPr>
          <w:rFonts w:ascii="Arial" w:hAnsi="Arial" w:cs="Arial"/>
          <w:sz w:val="24"/>
          <w:szCs w:val="24"/>
        </w:rPr>
        <w:t xml:space="preserve">now </w:t>
      </w:r>
      <w:r w:rsidR="005A3EAC" w:rsidRPr="00A44975">
        <w:rPr>
          <w:rFonts w:ascii="Arial" w:hAnsi="Arial" w:cs="Arial"/>
          <w:sz w:val="24"/>
          <w:szCs w:val="24"/>
        </w:rPr>
        <w:t xml:space="preserve">the preserve of </w:t>
      </w:r>
      <w:proofErr w:type="gramStart"/>
      <w:r w:rsidR="005A3EAC" w:rsidRPr="00A44975">
        <w:rPr>
          <w:rFonts w:ascii="Arial" w:hAnsi="Arial" w:cs="Arial"/>
          <w:sz w:val="24"/>
          <w:szCs w:val="24"/>
        </w:rPr>
        <w:t>LPP(</w:t>
      </w:r>
      <w:proofErr w:type="gramEnd"/>
      <w:r w:rsidR="005A3EAC" w:rsidRPr="00A44975">
        <w:rPr>
          <w:rFonts w:ascii="Arial" w:hAnsi="Arial" w:cs="Arial"/>
          <w:sz w:val="24"/>
          <w:szCs w:val="24"/>
        </w:rPr>
        <w:t>I)</w:t>
      </w:r>
      <w:r w:rsidRPr="00A44975">
        <w:rPr>
          <w:rFonts w:ascii="Arial" w:hAnsi="Arial" w:cs="Arial"/>
          <w:sz w:val="24"/>
          <w:szCs w:val="24"/>
        </w:rPr>
        <w:t xml:space="preserve">. Note the really important return is the asset return less fees, the co-called </w:t>
      </w:r>
      <w:r w:rsidR="00D363C4" w:rsidRPr="00A44975">
        <w:rPr>
          <w:rFonts w:ascii="Arial" w:hAnsi="Arial" w:cs="Arial"/>
          <w:sz w:val="24"/>
          <w:szCs w:val="24"/>
        </w:rPr>
        <w:t xml:space="preserve">‘net of fees’ investment return as this grows the fund and </w:t>
      </w:r>
      <w:r w:rsidRPr="00A44975">
        <w:rPr>
          <w:rFonts w:ascii="Arial" w:hAnsi="Arial" w:cs="Arial"/>
          <w:sz w:val="24"/>
          <w:szCs w:val="24"/>
        </w:rPr>
        <w:t xml:space="preserve">ultimately </w:t>
      </w:r>
      <w:r w:rsidR="00D363C4" w:rsidRPr="00A44975">
        <w:rPr>
          <w:rFonts w:ascii="Arial" w:hAnsi="Arial" w:cs="Arial"/>
          <w:sz w:val="24"/>
          <w:szCs w:val="24"/>
        </w:rPr>
        <w:t>provides the money to meet the fund’s liabilities.</w:t>
      </w:r>
    </w:p>
    <w:p w:rsidR="00A44975" w:rsidRPr="00A44975" w:rsidRDefault="00A44975" w:rsidP="00A449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573" w:rsidRPr="00A44975" w:rsidRDefault="00A04573" w:rsidP="00A44975">
      <w:pPr>
        <w:jc w:val="both"/>
        <w:rPr>
          <w:rFonts w:ascii="Arial" w:hAnsi="Arial" w:cs="Arial"/>
          <w:sz w:val="24"/>
          <w:szCs w:val="24"/>
        </w:rPr>
      </w:pPr>
      <w:r w:rsidRPr="00A44975">
        <w:rPr>
          <w:rFonts w:ascii="Arial" w:hAnsi="Arial" w:cs="Arial"/>
          <w:sz w:val="24"/>
          <w:szCs w:val="24"/>
        </w:rPr>
        <w:t xml:space="preserve">To aid interpretation and comparison the investment management cost is shown </w:t>
      </w:r>
      <w:r w:rsidRPr="00A44975">
        <w:rPr>
          <w:rFonts w:ascii="Arial" w:hAnsi="Arial" w:cs="Arial"/>
          <w:i/>
          <w:sz w:val="24"/>
          <w:szCs w:val="24"/>
        </w:rPr>
        <w:t xml:space="preserve">(in italic parenthesis) </w:t>
      </w:r>
      <w:r w:rsidRPr="00A44975">
        <w:rPr>
          <w:rFonts w:ascii="Arial" w:hAnsi="Arial" w:cs="Arial"/>
          <w:sz w:val="24"/>
          <w:szCs w:val="24"/>
        </w:rPr>
        <w:t xml:space="preserve">as basis points* of the assets under management and the administration cost is shown </w:t>
      </w:r>
      <w:r w:rsidRPr="00A44975">
        <w:rPr>
          <w:rFonts w:ascii="Arial" w:hAnsi="Arial" w:cs="Arial"/>
          <w:i/>
          <w:sz w:val="24"/>
          <w:szCs w:val="24"/>
        </w:rPr>
        <w:t>(also in italic parenthesis)</w:t>
      </w:r>
      <w:r w:rsidRPr="00A44975">
        <w:rPr>
          <w:rFonts w:ascii="Arial" w:hAnsi="Arial" w:cs="Arial"/>
          <w:sz w:val="24"/>
          <w:szCs w:val="24"/>
        </w:rPr>
        <w:t xml:space="preserve"> as a £ cost per person.</w:t>
      </w:r>
    </w:p>
    <w:p w:rsidR="00D363C4" w:rsidRDefault="00D363C4" w:rsidP="005A3EAC"/>
    <w:p w:rsidR="00A44975" w:rsidRDefault="00A44975" w:rsidP="005A3EAC"/>
    <w:p w:rsidR="00A44975" w:rsidRDefault="00A44975" w:rsidP="005A3E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996"/>
        <w:gridCol w:w="2996"/>
      </w:tblGrid>
      <w:tr w:rsidR="00A04573" w:rsidRPr="00A44975" w:rsidTr="003E0C6D">
        <w:tc>
          <w:tcPr>
            <w:tcW w:w="3080" w:type="dxa"/>
          </w:tcPr>
          <w:p w:rsidR="00A04573" w:rsidRPr="00A44975" w:rsidRDefault="00A04573" w:rsidP="005A3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A04573" w:rsidRDefault="00A04573" w:rsidP="00500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75">
              <w:rPr>
                <w:rFonts w:ascii="Arial" w:hAnsi="Arial" w:cs="Arial"/>
                <w:sz w:val="24"/>
                <w:szCs w:val="24"/>
              </w:rPr>
              <w:t>FY 14/15 (£Mn)</w:t>
            </w:r>
          </w:p>
          <w:p w:rsidR="008020EA" w:rsidRPr="00A44975" w:rsidRDefault="008020EA" w:rsidP="00500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A04573" w:rsidRPr="00A44975" w:rsidRDefault="00A04573" w:rsidP="00500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75">
              <w:rPr>
                <w:rFonts w:ascii="Arial" w:hAnsi="Arial" w:cs="Arial"/>
                <w:sz w:val="24"/>
                <w:szCs w:val="24"/>
              </w:rPr>
              <w:t>FY 15/16 (£Mn)</w:t>
            </w:r>
          </w:p>
        </w:tc>
      </w:tr>
      <w:tr w:rsidR="00A04573" w:rsidRPr="00A44975" w:rsidTr="00A04573">
        <w:tc>
          <w:tcPr>
            <w:tcW w:w="3080" w:type="dxa"/>
          </w:tcPr>
          <w:p w:rsidR="00A04573" w:rsidRDefault="00A04573" w:rsidP="008020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975">
              <w:rPr>
                <w:rFonts w:ascii="Arial" w:hAnsi="Arial" w:cs="Arial"/>
                <w:b/>
                <w:sz w:val="24"/>
                <w:szCs w:val="24"/>
              </w:rPr>
              <w:t>Total Management</w:t>
            </w:r>
          </w:p>
          <w:p w:rsidR="008020EA" w:rsidRPr="00A44975" w:rsidRDefault="008020EA" w:rsidP="00802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4573" w:rsidRPr="00A44975" w:rsidRDefault="00A04573" w:rsidP="008020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4975">
              <w:rPr>
                <w:rFonts w:ascii="Arial" w:hAnsi="Arial" w:cs="Arial"/>
                <w:b/>
                <w:sz w:val="24"/>
                <w:szCs w:val="24"/>
              </w:rPr>
              <w:t>35.4</w:t>
            </w:r>
          </w:p>
        </w:tc>
        <w:tc>
          <w:tcPr>
            <w:tcW w:w="3081" w:type="dxa"/>
          </w:tcPr>
          <w:p w:rsidR="00A04573" w:rsidRPr="00A44975" w:rsidRDefault="00A04573" w:rsidP="008020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4975">
              <w:rPr>
                <w:rFonts w:ascii="Arial" w:hAnsi="Arial" w:cs="Arial"/>
                <w:b/>
                <w:sz w:val="24"/>
                <w:szCs w:val="24"/>
              </w:rPr>
              <w:t>45.3</w:t>
            </w:r>
          </w:p>
        </w:tc>
      </w:tr>
      <w:tr w:rsidR="00A04573" w:rsidRPr="00A44975" w:rsidTr="00A04573">
        <w:tc>
          <w:tcPr>
            <w:tcW w:w="3080" w:type="dxa"/>
          </w:tcPr>
          <w:p w:rsidR="00A04573" w:rsidRDefault="00A04573" w:rsidP="008020EA">
            <w:pPr>
              <w:rPr>
                <w:rFonts w:ascii="Arial" w:hAnsi="Arial" w:cs="Arial"/>
                <w:sz w:val="24"/>
                <w:szCs w:val="24"/>
              </w:rPr>
            </w:pPr>
            <w:r w:rsidRPr="00A44975">
              <w:rPr>
                <w:rFonts w:ascii="Arial" w:hAnsi="Arial" w:cs="Arial"/>
                <w:sz w:val="24"/>
                <w:szCs w:val="24"/>
              </w:rPr>
              <w:t>Investment Management</w:t>
            </w:r>
          </w:p>
          <w:p w:rsidR="008020EA" w:rsidRPr="00A44975" w:rsidRDefault="008020EA" w:rsidP="00802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04573" w:rsidRPr="00A44975" w:rsidRDefault="00A04573" w:rsidP="008020E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44975">
              <w:rPr>
                <w:rFonts w:ascii="Arial" w:hAnsi="Arial" w:cs="Arial"/>
                <w:sz w:val="24"/>
                <w:szCs w:val="24"/>
              </w:rPr>
              <w:t>29.4</w:t>
            </w:r>
            <w:r w:rsidR="00C6467B" w:rsidRPr="00A4497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4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975">
              <w:rPr>
                <w:rFonts w:ascii="Arial" w:hAnsi="Arial" w:cs="Arial"/>
                <w:i/>
                <w:sz w:val="24"/>
                <w:szCs w:val="24"/>
              </w:rPr>
              <w:t>(53)</w:t>
            </w:r>
          </w:p>
        </w:tc>
        <w:tc>
          <w:tcPr>
            <w:tcW w:w="3081" w:type="dxa"/>
          </w:tcPr>
          <w:p w:rsidR="00A04573" w:rsidRPr="00A44975" w:rsidRDefault="00A04573" w:rsidP="008020E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44975">
              <w:rPr>
                <w:rFonts w:ascii="Arial" w:hAnsi="Arial" w:cs="Arial"/>
                <w:sz w:val="24"/>
                <w:szCs w:val="24"/>
              </w:rPr>
              <w:t>32.5</w:t>
            </w:r>
            <w:r w:rsidR="00C6467B" w:rsidRPr="00A4497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4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975">
              <w:rPr>
                <w:rFonts w:ascii="Arial" w:hAnsi="Arial" w:cs="Arial"/>
                <w:i/>
                <w:sz w:val="24"/>
                <w:szCs w:val="24"/>
              </w:rPr>
              <w:t>(55)</w:t>
            </w:r>
          </w:p>
        </w:tc>
      </w:tr>
      <w:tr w:rsidR="00A04573" w:rsidRPr="00A44975" w:rsidTr="00A04573">
        <w:tc>
          <w:tcPr>
            <w:tcW w:w="3080" w:type="dxa"/>
          </w:tcPr>
          <w:p w:rsidR="00A04573" w:rsidRDefault="00A04573" w:rsidP="008020EA">
            <w:pPr>
              <w:rPr>
                <w:rFonts w:ascii="Arial" w:hAnsi="Arial" w:cs="Arial"/>
                <w:sz w:val="24"/>
                <w:szCs w:val="24"/>
              </w:rPr>
            </w:pPr>
            <w:r w:rsidRPr="00A44975"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:rsidR="008020EA" w:rsidRPr="00A44975" w:rsidRDefault="008020EA" w:rsidP="00802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04573" w:rsidRPr="00A44975" w:rsidRDefault="00A04573" w:rsidP="00802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75">
              <w:rPr>
                <w:rFonts w:ascii="Arial" w:hAnsi="Arial" w:cs="Arial"/>
                <w:sz w:val="24"/>
                <w:szCs w:val="24"/>
              </w:rPr>
              <w:t>3.5</w:t>
            </w:r>
            <w:r w:rsidR="00C6467B" w:rsidRPr="00A4497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4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97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6467B" w:rsidRPr="00A44975">
              <w:rPr>
                <w:rFonts w:ascii="Arial" w:hAnsi="Arial" w:cs="Arial"/>
                <w:i/>
                <w:sz w:val="24"/>
                <w:szCs w:val="24"/>
              </w:rPr>
              <w:t>£21.50 pp)</w:t>
            </w:r>
          </w:p>
        </w:tc>
        <w:tc>
          <w:tcPr>
            <w:tcW w:w="3081" w:type="dxa"/>
          </w:tcPr>
          <w:p w:rsidR="00A04573" w:rsidRPr="00A44975" w:rsidRDefault="00A04573" w:rsidP="008020E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44975">
              <w:rPr>
                <w:rFonts w:ascii="Arial" w:hAnsi="Arial" w:cs="Arial"/>
                <w:sz w:val="24"/>
                <w:szCs w:val="24"/>
              </w:rPr>
              <w:t>4.1</w:t>
            </w:r>
            <w:r w:rsidR="00C6467B" w:rsidRPr="00A4497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6467B" w:rsidRPr="00A44975">
              <w:rPr>
                <w:rFonts w:ascii="Arial" w:hAnsi="Arial" w:cs="Arial"/>
                <w:i/>
                <w:sz w:val="24"/>
                <w:szCs w:val="24"/>
              </w:rPr>
              <w:t>(£21.08</w:t>
            </w:r>
            <w:r w:rsidR="003E0C6D" w:rsidRPr="00A44975">
              <w:rPr>
                <w:rFonts w:ascii="Arial" w:hAnsi="Arial" w:cs="Arial"/>
                <w:i/>
                <w:sz w:val="24"/>
                <w:szCs w:val="24"/>
              </w:rPr>
              <w:t xml:space="preserve"> pp</w:t>
            </w:r>
            <w:r w:rsidR="00C6467B" w:rsidRPr="00A4497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A04573" w:rsidRPr="00A44975" w:rsidTr="00A04573">
        <w:tc>
          <w:tcPr>
            <w:tcW w:w="3080" w:type="dxa"/>
          </w:tcPr>
          <w:p w:rsidR="00A04573" w:rsidRDefault="00A04573" w:rsidP="008020EA">
            <w:pPr>
              <w:rPr>
                <w:rFonts w:ascii="Arial" w:hAnsi="Arial" w:cs="Arial"/>
                <w:sz w:val="24"/>
                <w:szCs w:val="24"/>
              </w:rPr>
            </w:pPr>
            <w:r w:rsidRPr="00A44975">
              <w:rPr>
                <w:rFonts w:ascii="Arial" w:hAnsi="Arial" w:cs="Arial"/>
                <w:sz w:val="24"/>
                <w:szCs w:val="24"/>
              </w:rPr>
              <w:t>Oversight &amp; Governance</w:t>
            </w:r>
          </w:p>
          <w:p w:rsidR="008020EA" w:rsidRPr="00A44975" w:rsidRDefault="008020EA" w:rsidP="008020E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A04573" w:rsidRPr="00A44975" w:rsidRDefault="00A04573" w:rsidP="00802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7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081" w:type="dxa"/>
          </w:tcPr>
          <w:p w:rsidR="00A04573" w:rsidRPr="00A44975" w:rsidRDefault="00A04573" w:rsidP="00802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75">
              <w:rPr>
                <w:rFonts w:ascii="Arial" w:hAnsi="Arial" w:cs="Arial"/>
                <w:sz w:val="24"/>
                <w:szCs w:val="24"/>
              </w:rPr>
              <w:t>8.7</w:t>
            </w:r>
          </w:p>
        </w:tc>
      </w:tr>
    </w:tbl>
    <w:p w:rsidR="00A04573" w:rsidRPr="00A44975" w:rsidRDefault="00A04573" w:rsidP="00A04573">
      <w:pPr>
        <w:rPr>
          <w:rFonts w:ascii="Arial" w:hAnsi="Arial" w:cs="Arial"/>
          <w:sz w:val="24"/>
          <w:szCs w:val="24"/>
        </w:rPr>
      </w:pPr>
      <w:r w:rsidRPr="00A44975">
        <w:rPr>
          <w:rFonts w:ascii="Arial" w:hAnsi="Arial" w:cs="Arial"/>
          <w:sz w:val="24"/>
          <w:szCs w:val="24"/>
        </w:rPr>
        <w:t>*A basis point is 1% of 1% (ie .0001).</w:t>
      </w:r>
    </w:p>
    <w:p w:rsidR="00500659" w:rsidRPr="00A44975" w:rsidRDefault="00500659" w:rsidP="00A449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975">
        <w:rPr>
          <w:rFonts w:ascii="Arial" w:hAnsi="Arial" w:cs="Arial"/>
          <w:sz w:val="24"/>
          <w:szCs w:val="24"/>
        </w:rPr>
        <w:t xml:space="preserve">The aim will be to report on the development of these costs on an annual basis after the accounts are finalised, and </w:t>
      </w:r>
      <w:r w:rsidR="00274A03" w:rsidRPr="00A44975">
        <w:rPr>
          <w:rFonts w:ascii="Arial" w:hAnsi="Arial" w:cs="Arial"/>
          <w:sz w:val="24"/>
          <w:szCs w:val="24"/>
        </w:rPr>
        <w:t xml:space="preserve">provide a short </w:t>
      </w:r>
      <w:r w:rsidRPr="00A44975">
        <w:rPr>
          <w:rFonts w:ascii="Arial" w:hAnsi="Arial" w:cs="Arial"/>
          <w:sz w:val="24"/>
          <w:szCs w:val="24"/>
        </w:rPr>
        <w:t>comment</w:t>
      </w:r>
      <w:r w:rsidR="00274A03" w:rsidRPr="00A44975">
        <w:rPr>
          <w:rFonts w:ascii="Arial" w:hAnsi="Arial" w:cs="Arial"/>
          <w:sz w:val="24"/>
          <w:szCs w:val="24"/>
        </w:rPr>
        <w:t>ary</w:t>
      </w:r>
      <w:r w:rsidRPr="00A44975">
        <w:rPr>
          <w:rFonts w:ascii="Arial" w:hAnsi="Arial" w:cs="Arial"/>
          <w:sz w:val="24"/>
          <w:szCs w:val="24"/>
        </w:rPr>
        <w:t xml:space="preserve"> on trends.</w:t>
      </w:r>
    </w:p>
    <w:p w:rsidR="00A44975" w:rsidRDefault="00A44975" w:rsidP="00A449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4A03" w:rsidRPr="00A44975" w:rsidRDefault="00274A03" w:rsidP="00A449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975">
        <w:rPr>
          <w:rFonts w:ascii="Arial" w:hAnsi="Arial" w:cs="Arial"/>
          <w:sz w:val="24"/>
          <w:szCs w:val="24"/>
        </w:rPr>
        <w:t>The Board is asked t</w:t>
      </w:r>
      <w:r w:rsidR="005D2D7D" w:rsidRPr="00A44975">
        <w:rPr>
          <w:rFonts w:ascii="Arial" w:hAnsi="Arial" w:cs="Arial"/>
          <w:sz w:val="24"/>
          <w:szCs w:val="24"/>
        </w:rPr>
        <w:t xml:space="preserve">o note this report and the process to monitor costs going forward, at least until such time as a </w:t>
      </w:r>
      <w:r w:rsidR="00CB3FA2" w:rsidRPr="00A44975">
        <w:rPr>
          <w:rFonts w:ascii="Arial" w:hAnsi="Arial" w:cs="Arial"/>
          <w:sz w:val="24"/>
          <w:szCs w:val="24"/>
        </w:rPr>
        <w:t>process considered</w:t>
      </w:r>
      <w:r w:rsidR="005D2D7D" w:rsidRPr="00A44975">
        <w:rPr>
          <w:rFonts w:ascii="Arial" w:hAnsi="Arial" w:cs="Arial"/>
          <w:sz w:val="24"/>
          <w:szCs w:val="24"/>
        </w:rPr>
        <w:t xml:space="preserve"> satisfactory by the Board has been agreed by the P</w:t>
      </w:r>
      <w:r w:rsidR="00A44975">
        <w:rPr>
          <w:rFonts w:ascii="Arial" w:hAnsi="Arial" w:cs="Arial"/>
          <w:sz w:val="24"/>
          <w:szCs w:val="24"/>
        </w:rPr>
        <w:t xml:space="preserve">ension </w:t>
      </w:r>
      <w:r w:rsidR="005D2D7D" w:rsidRPr="00A44975">
        <w:rPr>
          <w:rFonts w:ascii="Arial" w:hAnsi="Arial" w:cs="Arial"/>
          <w:sz w:val="24"/>
          <w:szCs w:val="24"/>
        </w:rPr>
        <w:t>F</w:t>
      </w:r>
      <w:r w:rsidR="00A44975">
        <w:rPr>
          <w:rFonts w:ascii="Arial" w:hAnsi="Arial" w:cs="Arial"/>
          <w:sz w:val="24"/>
          <w:szCs w:val="24"/>
        </w:rPr>
        <w:t xml:space="preserve">und </w:t>
      </w:r>
      <w:r w:rsidR="005D2D7D" w:rsidRPr="00A44975">
        <w:rPr>
          <w:rFonts w:ascii="Arial" w:hAnsi="Arial" w:cs="Arial"/>
          <w:sz w:val="24"/>
          <w:szCs w:val="24"/>
        </w:rPr>
        <w:t>C</w:t>
      </w:r>
      <w:r w:rsidR="00A44975">
        <w:rPr>
          <w:rFonts w:ascii="Arial" w:hAnsi="Arial" w:cs="Arial"/>
          <w:sz w:val="24"/>
          <w:szCs w:val="24"/>
        </w:rPr>
        <w:t>ommittee</w:t>
      </w:r>
      <w:r w:rsidR="005D2D7D" w:rsidRPr="00A44975">
        <w:rPr>
          <w:rFonts w:ascii="Arial" w:hAnsi="Arial" w:cs="Arial"/>
          <w:sz w:val="24"/>
          <w:szCs w:val="24"/>
        </w:rPr>
        <w:t>.</w:t>
      </w:r>
    </w:p>
    <w:p w:rsidR="00274A03" w:rsidRDefault="00274A03" w:rsidP="00A04573"/>
    <w:p w:rsidR="00500659" w:rsidRPr="00D363C4" w:rsidRDefault="00500659" w:rsidP="00A04573"/>
    <w:sectPr w:rsidR="00500659" w:rsidRPr="00D363C4" w:rsidSect="00E65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193"/>
    <w:multiLevelType w:val="hybridMultilevel"/>
    <w:tmpl w:val="9034B18E"/>
    <w:lvl w:ilvl="0" w:tplc="DF8CBF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C"/>
    <w:rsid w:val="00274A03"/>
    <w:rsid w:val="002F3D6D"/>
    <w:rsid w:val="003E0C6D"/>
    <w:rsid w:val="00500659"/>
    <w:rsid w:val="00542FA8"/>
    <w:rsid w:val="00563527"/>
    <w:rsid w:val="005A3EAC"/>
    <w:rsid w:val="005D2D7D"/>
    <w:rsid w:val="008020EA"/>
    <w:rsid w:val="009F4445"/>
    <w:rsid w:val="00A04573"/>
    <w:rsid w:val="00A44975"/>
    <w:rsid w:val="00A81398"/>
    <w:rsid w:val="00BD4635"/>
    <w:rsid w:val="00BE2194"/>
    <w:rsid w:val="00C6467B"/>
    <w:rsid w:val="00CB3FA2"/>
    <w:rsid w:val="00D363C4"/>
    <w:rsid w:val="00E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1007B-16E4-4D59-81FC-6B090527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Neville, Mike</cp:lastModifiedBy>
  <cp:revision>5</cp:revision>
  <dcterms:created xsi:type="dcterms:W3CDTF">2016-10-07T12:03:00Z</dcterms:created>
  <dcterms:modified xsi:type="dcterms:W3CDTF">2016-10-10T07:13:00Z</dcterms:modified>
</cp:coreProperties>
</file>